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WHITE PAPER - PRFCA</w:t>
      </w:r>
    </w:p>
    <w:p>
      <w:r>
        <w:t>Parental Responsibility and Family Contributions Act (PRFCA)</w:t>
        <w:br/>
        <w:t>Establishing the Parental Contribution Service (PCS)</w:t>
      </w:r>
    </w:p>
    <w:p>
      <w:pPr>
        <w:pStyle w:val="Heading1"/>
      </w:pPr>
      <w:r>
        <w:t>Ministerial Foreword</w:t>
      </w:r>
    </w:p>
    <w:p>
      <w:r>
        <w:t>Children benefit from the involvement and responsibility of both parents. This White Paper proposes a fair, affordable and transparent framework.</w:t>
      </w:r>
    </w:p>
    <w:p>
      <w:pPr>
        <w:pStyle w:val="Heading1"/>
      </w:pPr>
      <w:r>
        <w:t>Executive Summary</w:t>
      </w:r>
    </w:p>
    <w:p>
      <w:r>
        <w:t>PCS introduces fixed contributions, shared care recognition, affordability safeguards and independent oversight.</w:t>
      </w:r>
    </w:p>
    <w:p>
      <w:pPr>
        <w:pStyle w:val="Heading1"/>
      </w:pPr>
      <w:r>
        <w:t>Why Reform Is Needed</w:t>
      </w:r>
    </w:p>
    <w:p>
      <w:r>
        <w:t>To reduce complexity, disputes, reassessments and administrative burden.</w:t>
      </w:r>
    </w:p>
    <w:p>
      <w:pPr>
        <w:pStyle w:val="Heading1"/>
      </w:pPr>
      <w:r>
        <w:t>Policy Objectives</w:t>
      </w:r>
    </w:p>
    <w:p>
      <w:r>
        <w:t>Child welfare, affordability, transparency, compliance and shared responsibility.</w:t>
      </w:r>
    </w:p>
    <w:p>
      <w:pPr>
        <w:pStyle w:val="Heading1"/>
      </w:pPr>
      <w:r>
        <w:t>Why Fixed Contributions?</w:t>
      </w:r>
    </w:p>
    <w:p>
      <w:r>
        <w:t>Fixed rates improve predictability, transparency and voluntary compliance.</w:t>
      </w:r>
    </w:p>
    <w:p>
      <w:pPr>
        <w:pStyle w:val="Heading1"/>
      </w:pPr>
      <w:r>
        <w:t>Affordability Principles</w:t>
      </w:r>
    </w:p>
    <w:p>
      <w:r>
        <w:t>70% disposable income safeguard, annual reviews and rate freeze powers.</w:t>
      </w:r>
    </w:p>
    <w:p>
      <w:pPr>
        <w:pStyle w:val="Heading1"/>
      </w:pPr>
      <w:r>
        <w:t>Child Welfare Principles</w:t>
      </w:r>
    </w:p>
    <w:p>
      <w:r>
        <w:t>Child welfare remains the primary consideration throughout the framework.</w:t>
      </w:r>
    </w:p>
    <w:p>
      <w:pPr>
        <w:pStyle w:val="Heading1"/>
      </w:pPr>
      <w:r>
        <w:t>Economic Impact</w:t>
      </w:r>
    </w:p>
    <w:p>
      <w:r>
        <w:t>Expected reduction in administrative costs and improved compliance.</w:t>
      </w:r>
    </w:p>
    <w:p>
      <w:pPr>
        <w:pStyle w:val="Heading1"/>
      </w:pPr>
      <w:r>
        <w:t>Comparison Report</w:t>
      </w:r>
    </w:p>
    <w:p>
      <w:r>
        <w:t>Comparison of CMS and PCS models.</w:t>
      </w:r>
    </w:p>
    <w:p>
      <w:pPr>
        <w:pStyle w:val="Heading1"/>
      </w:pPr>
      <w:r>
        <w:t>Implementation Plan</w:t>
      </w:r>
    </w:p>
    <w:p>
      <w:r>
        <w:t>Consultation, pilot programme, evaluation and rollout.</w:t>
      </w:r>
    </w:p>
    <w:p>
      <w:pPr>
        <w:pStyle w:val="Heading1"/>
      </w:pPr>
      <w:r>
        <w:t>Independent Pilot Programme</w:t>
      </w:r>
    </w:p>
    <w:p>
      <w:r>
        <w:t>12‑month pilot across three representative regions.</w:t>
      </w:r>
    </w:p>
    <w:p>
      <w:pPr>
        <w:pStyle w:val="Heading1"/>
      </w:pPr>
      <w:r>
        <w:t>Consultation Questions</w:t>
      </w:r>
    </w:p>
    <w:p>
      <w:r>
        <w:t>Questions on rates, safeguards, shared care and implementation.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